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lang w:eastAsia="zh-CN"/>
        </w:rPr>
      </w:pPr>
    </w:p>
    <w:p>
      <w:pPr>
        <w:pStyle w:val="16"/>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_GBK" w:cstheme="minorBidi"/>
          <w:sz w:val="44"/>
          <w:szCs w:val="44"/>
        </w:rPr>
      </w:pPr>
      <w:r>
        <w:rPr>
          <w:rFonts w:hint="default" w:ascii="Times New Roman" w:hAnsi="Times New Roman" w:eastAsia="方正小标宋_GBK" w:cs="Times New Roman"/>
          <w:sz w:val="44"/>
          <w:szCs w:val="44"/>
        </w:rPr>
        <w:t>关于《四川省</w:t>
      </w:r>
      <w:r>
        <w:rPr>
          <w:rFonts w:hint="eastAsia" w:eastAsia="方正小标宋_GBK" w:cs="Times New Roman"/>
          <w:sz w:val="44"/>
          <w:szCs w:val="44"/>
          <w:lang w:eastAsia="zh-CN"/>
        </w:rPr>
        <w:t>“</w:t>
      </w:r>
      <w:r>
        <w:rPr>
          <w:rFonts w:hint="default" w:ascii="Times New Roman" w:hAnsi="Times New Roman" w:eastAsia="方正小标宋_GBK" w:cs="Times New Roman"/>
          <w:sz w:val="44"/>
          <w:szCs w:val="44"/>
        </w:rPr>
        <w:t>十四五</w:t>
      </w:r>
      <w:r>
        <w:rPr>
          <w:rFonts w:hint="eastAsia" w:eastAsia="方正小标宋_GBK" w:cs="Times New Roman"/>
          <w:sz w:val="44"/>
          <w:szCs w:val="44"/>
          <w:lang w:eastAsia="zh-CN"/>
        </w:rPr>
        <w:t>”</w:t>
      </w:r>
      <w:r>
        <w:rPr>
          <w:rFonts w:hint="default" w:ascii="Times New Roman" w:hAnsi="Times New Roman" w:eastAsia="方正小标宋_GBK" w:cs="Times New Roman"/>
          <w:sz w:val="44"/>
          <w:szCs w:val="44"/>
        </w:rPr>
        <w:t>高新技术产业发展</w:t>
      </w:r>
      <w:r>
        <w:rPr>
          <w:rFonts w:hint="default" w:ascii="Times New Roman" w:hAnsi="Times New Roman" w:eastAsia="方正小标宋_GBK" w:cs="Times New Roman"/>
          <w:sz w:val="44"/>
          <w:szCs w:val="44"/>
        </w:rPr>
        <w:br w:type="textWrapping"/>
      </w:r>
      <w:r>
        <w:rPr>
          <w:rFonts w:hint="default" w:ascii="Times New Roman" w:hAnsi="Times New Roman" w:eastAsia="方正小标宋_GBK" w:cs="Times New Roman"/>
          <w:sz w:val="44"/>
          <w:szCs w:val="44"/>
        </w:rPr>
        <w:t>规划（征求意见稿）》</w:t>
      </w:r>
      <w:r>
        <w:rPr>
          <w:rFonts w:hint="eastAsia" w:ascii="Times New Roman" w:hAnsi="Times New Roman" w:eastAsia="方正小标宋_GBK" w:cs="Times New Roman"/>
          <w:sz w:val="44"/>
          <w:szCs w:val="44"/>
          <w:lang w:eastAsia="zh-CN"/>
        </w:rPr>
        <w:t>的</w:t>
      </w:r>
      <w:r>
        <w:rPr>
          <w:rFonts w:hint="default" w:ascii="Times New Roman" w:hAnsi="Times New Roman" w:eastAsia="方正小标宋_GBK" w:cs="Times New Roman"/>
          <w:sz w:val="44"/>
          <w:szCs w:val="44"/>
        </w:rPr>
        <w:t>起草</w:t>
      </w:r>
      <w:r>
        <w:rPr>
          <w:rFonts w:hint="eastAsia" w:ascii="Times New Roman" w:hAnsi="Times New Roman" w:eastAsia="方正小标宋_GBK" w:cs="Times New Roman"/>
          <w:sz w:val="44"/>
          <w:szCs w:val="44"/>
          <w:lang w:eastAsia="zh-CN"/>
        </w:rPr>
        <w:t>说明</w:t>
      </w:r>
    </w:p>
    <w:p>
      <w:pPr>
        <w:pStyle w:val="16"/>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方正小标宋_GBK" w:cstheme="minorBidi"/>
          <w:sz w:val="44"/>
          <w:szCs w:val="44"/>
          <w:lang w:eastAsia="zh-CN"/>
        </w:rPr>
      </w:pPr>
    </w:p>
    <w:p>
      <w:pPr>
        <w:pStyle w:val="3"/>
        <w:bidi w:val="0"/>
        <w:rPr>
          <w:rFonts w:hint="eastAsia"/>
        </w:rPr>
      </w:pPr>
      <w:r>
        <w:rPr>
          <w:rFonts w:hint="eastAsia"/>
        </w:rPr>
        <w:t>起草背景</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仿宋_GB2312"/>
          <w:sz w:val="32"/>
        </w:rPr>
      </w:pPr>
      <w:r>
        <w:rPr>
          <w:rFonts w:hint="eastAsia" w:ascii="Times New Roman" w:hAnsi="Times New Roman" w:eastAsia="仿宋_GB2312"/>
          <w:sz w:val="32"/>
        </w:rPr>
        <w:t>“十四五”时期是我国全面建成小康社会、实现第一个百年奋斗目标之后，乘势而上开启全面建设社会主义现代化国家新征程、向第二个百年奋斗目标进军的第一个五年。为深入实施创新驱动发展战略，进一步推进高新技术产业发展壮大，根据《四川省国民经济和社会发展第十四个五年规划和二〇三五年远景目标纲要》《四川省“十四五”科技创新发展规划》等规划内容，结合中共四川省委</w:t>
      </w:r>
      <w:r>
        <w:rPr>
          <w:rFonts w:hint="default" w:ascii="Times New Roman" w:hAnsi="Times New Roman"/>
          <w:bCs/>
          <w:sz w:val="32"/>
          <w:szCs w:val="32"/>
          <w:lang w:val="en-US" w:eastAsia="zh-CN"/>
        </w:rPr>
        <w:t>十一届十次全会</w:t>
      </w:r>
      <w:r>
        <w:rPr>
          <w:rFonts w:hint="eastAsia" w:ascii="Times New Roman" w:hAnsi="Times New Roman" w:eastAsia="仿宋_GB2312"/>
          <w:sz w:val="32"/>
        </w:rPr>
        <w:t>等会议精神，制</w:t>
      </w:r>
      <w:bookmarkStart w:id="0" w:name="_GoBack"/>
      <w:bookmarkEnd w:id="0"/>
      <w:r>
        <w:rPr>
          <w:rFonts w:hint="eastAsia" w:ascii="Times New Roman" w:hAnsi="Times New Roman" w:eastAsia="仿宋_GB2312"/>
          <w:sz w:val="32"/>
        </w:rPr>
        <w:t>定本《规划》。</w:t>
      </w:r>
    </w:p>
    <w:p>
      <w:pPr>
        <w:pStyle w:val="3"/>
        <w:bidi w:val="0"/>
        <w:rPr>
          <w:rFonts w:hint="eastAsia"/>
        </w:rPr>
      </w:pPr>
      <w:r>
        <w:rPr>
          <w:rFonts w:hint="eastAsia"/>
        </w:rPr>
        <w:t>主要内容</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仿宋_GB2312"/>
          <w:sz w:val="32"/>
        </w:rPr>
      </w:pPr>
      <w:r>
        <w:rPr>
          <w:rFonts w:hint="eastAsia" w:ascii="Times New Roman" w:hAnsi="Times New Roman" w:eastAsia="仿宋_GB2312"/>
          <w:sz w:val="32"/>
        </w:rPr>
        <w:t>《规划》共六大部分内容。</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仿宋_GB2312"/>
          <w:sz w:val="32"/>
        </w:rPr>
      </w:pPr>
      <w:r>
        <w:rPr>
          <w:rFonts w:hint="eastAsia" w:ascii="Times New Roman" w:hAnsi="Times New Roman" w:eastAsia="仿宋_GB2312"/>
          <w:sz w:val="32"/>
        </w:rPr>
        <w:t>第一部分为</w:t>
      </w:r>
      <w:r>
        <w:rPr>
          <w:rFonts w:hint="eastAsia"/>
          <w:sz w:val="32"/>
          <w:lang w:eastAsia="zh-CN"/>
        </w:rPr>
        <w:t>发展基础和形势</w:t>
      </w:r>
      <w:r>
        <w:rPr>
          <w:rFonts w:hint="eastAsia" w:ascii="Times New Roman" w:hAnsi="Times New Roman" w:eastAsia="仿宋_GB2312"/>
          <w:sz w:val="32"/>
        </w:rPr>
        <w:t>。总结了我省“十三五”期间在重大关键共性技术、科技创新平台、科技服务业、高新技术产业园、高新技术企业等方面成绩，从国际、国内和省内三个维度分析了“十四五”高新产业的发展形势。</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仿宋_GB2312"/>
          <w:sz w:val="32"/>
        </w:rPr>
      </w:pPr>
      <w:r>
        <w:rPr>
          <w:rFonts w:hint="eastAsia" w:ascii="Times New Roman" w:hAnsi="Times New Roman" w:eastAsia="仿宋_GB2312"/>
          <w:sz w:val="32"/>
        </w:rPr>
        <w:t>第二部分为</w:t>
      </w:r>
      <w:r>
        <w:rPr>
          <w:rFonts w:hint="eastAsia"/>
          <w:sz w:val="32"/>
          <w:lang w:eastAsia="zh-CN"/>
        </w:rPr>
        <w:t>指导思想、发展原则和发展目标</w:t>
      </w:r>
      <w:r>
        <w:rPr>
          <w:rFonts w:hint="eastAsia" w:ascii="Times New Roman" w:hAnsi="Times New Roman" w:eastAsia="仿宋_GB2312"/>
          <w:sz w:val="32"/>
        </w:rPr>
        <w:t>。提出了我省“十四五”期间高新技术产业发展的指导思想和发展思路，从创新能力、创新主体、科技服务业、创新生态、产业规模等方面明确了我省高新技术产业的发展目标。</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仿宋_GB2312"/>
          <w:sz w:val="32"/>
        </w:rPr>
      </w:pPr>
      <w:r>
        <w:rPr>
          <w:rFonts w:hint="eastAsia" w:ascii="Times New Roman" w:hAnsi="Times New Roman" w:eastAsia="仿宋_GB2312"/>
          <w:sz w:val="32"/>
        </w:rPr>
        <w:t>第三部分为重点领域。对标“十四五”国家高新技术发展规划，结合我省实际及产业需求，重点布局电子信息</w:t>
      </w:r>
      <w:r>
        <w:rPr>
          <w:rFonts w:hint="eastAsia"/>
          <w:sz w:val="32"/>
          <w:lang w:eastAsia="zh-CN"/>
        </w:rPr>
        <w:t>技术</w:t>
      </w:r>
      <w:r>
        <w:rPr>
          <w:rFonts w:hint="eastAsia" w:ascii="Times New Roman" w:hAnsi="Times New Roman" w:eastAsia="仿宋_GB2312"/>
          <w:sz w:val="32"/>
        </w:rPr>
        <w:t>、航空航天</w:t>
      </w:r>
      <w:r>
        <w:rPr>
          <w:rFonts w:hint="eastAsia"/>
          <w:sz w:val="32"/>
          <w:lang w:eastAsia="zh-CN"/>
        </w:rPr>
        <w:t>技术</w:t>
      </w:r>
      <w:r>
        <w:rPr>
          <w:rFonts w:hint="eastAsia" w:ascii="Times New Roman" w:hAnsi="Times New Roman" w:eastAsia="仿宋_GB2312"/>
          <w:sz w:val="32"/>
        </w:rPr>
        <w:t>、装备制造、</w:t>
      </w:r>
      <w:r>
        <w:rPr>
          <w:rFonts w:hint="eastAsia"/>
          <w:sz w:val="32"/>
          <w:lang w:eastAsia="zh-CN"/>
        </w:rPr>
        <w:t>新</w:t>
      </w:r>
      <w:r>
        <w:rPr>
          <w:rFonts w:hint="eastAsia" w:ascii="Times New Roman" w:hAnsi="Times New Roman" w:eastAsia="仿宋_GB2312"/>
          <w:sz w:val="32"/>
        </w:rPr>
        <w:t>材料</w:t>
      </w:r>
      <w:r>
        <w:rPr>
          <w:rFonts w:hint="eastAsia"/>
          <w:sz w:val="32"/>
          <w:lang w:eastAsia="zh-CN"/>
        </w:rPr>
        <w:t>技术</w:t>
      </w:r>
      <w:r>
        <w:rPr>
          <w:rFonts w:hint="eastAsia" w:ascii="Times New Roman" w:hAnsi="Times New Roman" w:eastAsia="仿宋_GB2312"/>
          <w:sz w:val="32"/>
        </w:rPr>
        <w:t>、</w:t>
      </w:r>
      <w:r>
        <w:rPr>
          <w:rFonts w:hint="eastAsia"/>
          <w:sz w:val="32"/>
          <w:lang w:eastAsia="zh-CN"/>
        </w:rPr>
        <w:t>新能源及节能技术</w:t>
      </w:r>
      <w:r>
        <w:rPr>
          <w:rFonts w:hint="eastAsia" w:ascii="Times New Roman" w:hAnsi="Times New Roman" w:eastAsia="仿宋_GB2312"/>
          <w:sz w:val="32"/>
        </w:rPr>
        <w:t>、生物</w:t>
      </w:r>
      <w:r>
        <w:rPr>
          <w:rFonts w:hint="eastAsia"/>
          <w:sz w:val="32"/>
          <w:lang w:eastAsia="zh-CN"/>
        </w:rPr>
        <w:t>与新</w:t>
      </w:r>
      <w:r>
        <w:rPr>
          <w:rFonts w:hint="eastAsia" w:ascii="Times New Roman" w:hAnsi="Times New Roman" w:eastAsia="仿宋_GB2312"/>
          <w:sz w:val="32"/>
        </w:rPr>
        <w:t>医药</w:t>
      </w:r>
      <w:r>
        <w:rPr>
          <w:rFonts w:hint="eastAsia"/>
          <w:sz w:val="32"/>
          <w:lang w:eastAsia="zh-CN"/>
        </w:rPr>
        <w:t>技术</w:t>
      </w:r>
      <w:r>
        <w:rPr>
          <w:rFonts w:hint="eastAsia" w:ascii="Times New Roman" w:hAnsi="Times New Roman" w:eastAsia="仿宋_GB2312"/>
          <w:sz w:val="32"/>
        </w:rPr>
        <w:t>、资源</w:t>
      </w:r>
      <w:r>
        <w:rPr>
          <w:rFonts w:hint="eastAsia"/>
          <w:sz w:val="32"/>
          <w:lang w:eastAsia="zh-CN"/>
        </w:rPr>
        <w:t>与</w:t>
      </w:r>
      <w:r>
        <w:rPr>
          <w:rFonts w:hint="eastAsia" w:ascii="Times New Roman" w:hAnsi="Times New Roman" w:eastAsia="仿宋_GB2312"/>
          <w:sz w:val="32"/>
        </w:rPr>
        <w:t>环保</w:t>
      </w:r>
      <w:r>
        <w:rPr>
          <w:rFonts w:hint="eastAsia"/>
          <w:sz w:val="32"/>
          <w:lang w:eastAsia="zh-CN"/>
        </w:rPr>
        <w:t>技术</w:t>
      </w:r>
      <w:r>
        <w:rPr>
          <w:rFonts w:hint="eastAsia" w:ascii="Times New Roman" w:hAnsi="Times New Roman" w:eastAsia="仿宋_GB2312"/>
          <w:sz w:val="32"/>
        </w:rPr>
        <w:t>、科技服务</w:t>
      </w:r>
      <w:r>
        <w:rPr>
          <w:rFonts w:hint="eastAsia"/>
          <w:sz w:val="32"/>
          <w:lang w:eastAsia="zh-CN"/>
        </w:rPr>
        <w:t>业</w:t>
      </w:r>
      <w:r>
        <w:rPr>
          <w:rFonts w:hint="eastAsia" w:ascii="Times New Roman" w:hAnsi="Times New Roman" w:eastAsia="仿宋_GB2312"/>
          <w:sz w:val="32"/>
        </w:rPr>
        <w:t>、</w:t>
      </w:r>
      <w:r>
        <w:rPr>
          <w:rFonts w:hint="eastAsia"/>
          <w:sz w:val="32"/>
          <w:lang w:eastAsia="zh-CN"/>
        </w:rPr>
        <w:t>高新技术改造传统产业</w:t>
      </w:r>
      <w:r>
        <w:rPr>
          <w:rFonts w:hint="eastAsia" w:ascii="Times New Roman" w:hAnsi="Times New Roman" w:eastAsia="仿宋_GB2312"/>
          <w:sz w:val="32"/>
        </w:rPr>
        <w:t>、数字经济10个领域，凝练了46个优先发展方向，全面对接国家高新技术发展规划提出的重点领域。</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仿宋_GB2312"/>
          <w:sz w:val="32"/>
        </w:rPr>
      </w:pPr>
      <w:r>
        <w:rPr>
          <w:rFonts w:hint="eastAsia" w:ascii="Times New Roman" w:hAnsi="Times New Roman" w:eastAsia="仿宋_GB2312"/>
          <w:sz w:val="32"/>
        </w:rPr>
        <w:t>第四部分为重点</w:t>
      </w:r>
      <w:r>
        <w:rPr>
          <w:rFonts w:hint="eastAsia"/>
          <w:sz w:val="32"/>
          <w:lang w:eastAsia="zh-CN"/>
        </w:rPr>
        <w:t>基地和平台</w:t>
      </w:r>
      <w:r>
        <w:rPr>
          <w:rFonts w:hint="eastAsia" w:ascii="Times New Roman" w:hAnsi="Times New Roman" w:eastAsia="仿宋_GB2312"/>
          <w:sz w:val="32"/>
        </w:rPr>
        <w:t>。围绕西部（成都）科学城</w:t>
      </w:r>
      <w:r>
        <w:rPr>
          <w:rFonts w:hint="eastAsia"/>
          <w:sz w:val="32"/>
          <w:lang w:eastAsia="zh-CN"/>
        </w:rPr>
        <w:t>建设</w:t>
      </w:r>
      <w:r>
        <w:rPr>
          <w:rFonts w:hint="eastAsia" w:ascii="Times New Roman" w:hAnsi="Times New Roman" w:eastAsia="仿宋_GB2312"/>
          <w:sz w:val="32"/>
        </w:rPr>
        <w:t>、中国（绵阳）科技城</w:t>
      </w:r>
      <w:r>
        <w:rPr>
          <w:rFonts w:hint="eastAsia"/>
          <w:sz w:val="32"/>
          <w:lang w:eastAsia="zh-CN"/>
        </w:rPr>
        <w:t>突破性发展</w:t>
      </w:r>
      <w:r>
        <w:rPr>
          <w:rFonts w:hint="eastAsia" w:ascii="Times New Roman" w:hAnsi="Times New Roman" w:eastAsia="仿宋_GB2312"/>
          <w:sz w:val="32"/>
        </w:rPr>
        <w:t>、</w:t>
      </w:r>
      <w:r>
        <w:rPr>
          <w:rFonts w:hint="eastAsia"/>
          <w:sz w:val="32"/>
          <w:lang w:eastAsia="zh-CN"/>
        </w:rPr>
        <w:t>实施高新区提质升位和提档升级计划</w:t>
      </w:r>
      <w:r>
        <w:rPr>
          <w:rFonts w:hint="eastAsia" w:ascii="Times New Roman" w:hAnsi="Times New Roman" w:eastAsia="仿宋_GB2312"/>
          <w:sz w:val="32"/>
        </w:rPr>
        <w:t>，形成重点基地和平台的建设思路，构建支撑高质量发展的现代产业体系，形成主体功能明显、优势互补、高质量发展的产业区域创新布局。</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eastAsia" w:ascii="Times New Roman" w:hAnsi="Times New Roman" w:eastAsia="仿宋_GB2312"/>
          <w:sz w:val="32"/>
        </w:rPr>
      </w:pPr>
      <w:r>
        <w:rPr>
          <w:rFonts w:hint="eastAsia" w:ascii="Times New Roman" w:hAnsi="Times New Roman" w:eastAsia="仿宋_GB2312"/>
          <w:sz w:val="32"/>
        </w:rPr>
        <w:t>第五部分为重点</w:t>
      </w:r>
      <w:r>
        <w:rPr>
          <w:rFonts w:hint="eastAsia"/>
          <w:sz w:val="32"/>
          <w:lang w:eastAsia="zh-CN"/>
        </w:rPr>
        <w:t>行动</w:t>
      </w:r>
      <w:r>
        <w:rPr>
          <w:rFonts w:hint="eastAsia" w:ascii="Times New Roman" w:hAnsi="Times New Roman" w:eastAsia="仿宋_GB2312"/>
          <w:sz w:val="32"/>
        </w:rPr>
        <w:t>。围绕我省经济社会发展重大需求，制定重点任务。通过实施重大关键</w:t>
      </w:r>
      <w:r>
        <w:rPr>
          <w:rFonts w:hint="eastAsia"/>
          <w:sz w:val="32"/>
          <w:lang w:eastAsia="zh-CN"/>
        </w:rPr>
        <w:t>核心共性</w:t>
      </w:r>
      <w:r>
        <w:rPr>
          <w:rFonts w:hint="eastAsia" w:ascii="Times New Roman" w:hAnsi="Times New Roman" w:eastAsia="仿宋_GB2312"/>
          <w:sz w:val="32"/>
        </w:rPr>
        <w:t>技术</w:t>
      </w:r>
      <w:r>
        <w:rPr>
          <w:rFonts w:hint="eastAsia"/>
          <w:sz w:val="32"/>
          <w:lang w:eastAsia="zh-CN"/>
        </w:rPr>
        <w:t>突破、企业创新主体培育</w:t>
      </w:r>
      <w:r>
        <w:rPr>
          <w:rFonts w:hint="eastAsia" w:ascii="Times New Roman" w:hAnsi="Times New Roman" w:eastAsia="仿宋_GB2312"/>
          <w:sz w:val="32"/>
        </w:rPr>
        <w:t>等</w:t>
      </w:r>
      <w:r>
        <w:rPr>
          <w:rFonts w:hint="eastAsia"/>
          <w:sz w:val="32"/>
          <w:lang w:val="en-US" w:eastAsia="zh-CN"/>
        </w:rPr>
        <w:t>5</w:t>
      </w:r>
      <w:r>
        <w:rPr>
          <w:rFonts w:hint="eastAsia" w:ascii="Times New Roman" w:hAnsi="Times New Roman" w:eastAsia="仿宋_GB2312"/>
          <w:sz w:val="32"/>
        </w:rPr>
        <w:t>大</w:t>
      </w:r>
      <w:r>
        <w:rPr>
          <w:rFonts w:hint="eastAsia"/>
          <w:sz w:val="32"/>
          <w:lang w:eastAsia="zh-CN"/>
        </w:rPr>
        <w:t>行动</w:t>
      </w:r>
      <w:r>
        <w:rPr>
          <w:rFonts w:hint="eastAsia" w:ascii="Times New Roman" w:hAnsi="Times New Roman" w:eastAsia="仿宋_GB2312"/>
          <w:sz w:val="32"/>
        </w:rPr>
        <w:t>，解决制约产业发展瓶颈问题，开发一批重大战略产品，实施一批高水平重大示范工程，培养科技创新创业领军人才和团队，打造具有核心竞争力的创新型企业，培育发展战略性新兴产业。</w:t>
      </w:r>
    </w:p>
    <w:p>
      <w:pPr>
        <w:pStyle w:val="4"/>
        <w:widowControl w:val="0"/>
        <w:pBdr>
          <w:top w:val="none" w:color="auto" w:sz="0" w:space="1"/>
          <w:left w:val="none" w:color="auto" w:sz="0" w:space="4"/>
          <w:bottom w:val="none" w:color="auto" w:sz="0" w:space="1"/>
          <w:right w:val="none" w:color="auto" w:sz="0" w:space="4"/>
          <w:between w:val="none" w:color="auto" w:sz="0" w:space="0"/>
        </w:pBdr>
        <w:bidi w:val="0"/>
        <w:spacing w:beforeAutospacing="0" w:afterAutospacing="0"/>
        <w:rPr>
          <w:rFonts w:hint="default" w:ascii="Times New Roman" w:hAnsi="Times New Roman" w:eastAsia="仿宋_GB2312"/>
          <w:sz w:val="32"/>
          <w:lang w:val="en-US" w:eastAsia="zh-CN"/>
        </w:rPr>
      </w:pPr>
      <w:r>
        <w:rPr>
          <w:rFonts w:hint="eastAsia" w:ascii="Times New Roman" w:hAnsi="Times New Roman" w:eastAsia="仿宋_GB2312"/>
          <w:sz w:val="32"/>
        </w:rPr>
        <w:t>第六部分为保障措施。从加强政策引导、强化人才支撑、深化开放合作、营造良好环境4个方面提出政策措施。</w:t>
      </w:r>
    </w:p>
    <w:sectPr>
      <w:footerReference r:id="rId5" w:type="default"/>
      <w:pgSz w:w="11906" w:h="16838"/>
      <w:pgMar w:top="2098" w:right="1474" w:bottom="1984" w:left="1587" w:header="851" w:footer="1644"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7F881B-1F0C-4F12-BF1F-DA7078792B4E}"/>
  </w:font>
  <w:font w:name="Arial">
    <w:panose1 w:val="020B0604020202020204"/>
    <w:charset w:val="01"/>
    <w:family w:val="swiss"/>
    <w:pitch w:val="default"/>
    <w:sig w:usb0="E0002AFF" w:usb1="C0007843" w:usb2="00000009" w:usb3="00000000" w:csb0="400001FF" w:csb1="FFFF0000"/>
    <w:embedRegular r:id="rId2" w:fontKey="{05086930-C280-4B12-9774-48A13E732A6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8847038-94A0-464E-A5FC-CC1D1BE3D0C0}"/>
  </w:font>
  <w:font w:name="Symbol">
    <w:panose1 w:val="05050102010706020507"/>
    <w:charset w:val="02"/>
    <w:family w:val="roman"/>
    <w:pitch w:val="default"/>
    <w:sig w:usb0="00000000" w:usb1="00000000" w:usb2="00000000" w:usb3="00000000" w:csb0="80000000" w:csb1="00000000"/>
    <w:embedRegular r:id="rId4" w:fontKey="{5396B8CB-73ED-43A9-99B6-57615920BB70}"/>
  </w:font>
  <w:font w:name="Calibri">
    <w:panose1 w:val="020F0502020204030204"/>
    <w:charset w:val="00"/>
    <w:family w:val="swiss"/>
    <w:pitch w:val="default"/>
    <w:sig w:usb0="E00002FF" w:usb1="4000ACFF" w:usb2="00000001" w:usb3="00000000" w:csb0="2000019F" w:csb1="00000000"/>
    <w:embedRegular r:id="rId5" w:fontKey="{16785F42-FFD2-4EE5-9AC3-A7DE7D09658C}"/>
  </w:font>
  <w:font w:name="仿宋_GB2312">
    <w:panose1 w:val="02010609030101010101"/>
    <w:charset w:val="86"/>
    <w:family w:val="auto"/>
    <w:pitch w:val="default"/>
    <w:sig w:usb0="00000001" w:usb1="080E0000" w:usb2="00000000" w:usb3="00000000" w:csb0="00040000" w:csb1="00000000"/>
    <w:embedRegular r:id="rId6" w:fontKey="{B76A0885-78EB-4382-A6C4-4228E0FDC6A1}"/>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7" w:fontKey="{DAA87380-35D4-4627-BCE4-C52F99FA7C63}"/>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8" w:fontKey="{18D2C126-F01E-4BA2-9AC5-099FC9AEE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BF3F20"/>
    <w:multiLevelType w:val="multilevel"/>
    <w:tmpl w:val="58BF3F20"/>
    <w:lvl w:ilvl="0" w:tentative="0">
      <w:start w:val="1"/>
      <w:numFmt w:val="chineseCounting"/>
      <w:pStyle w:val="3"/>
      <w:suff w:val="nothing"/>
      <w:lvlText w:val="%1、"/>
      <w:lvlJc w:val="left"/>
      <w:pPr>
        <w:tabs>
          <w:tab w:val="left" w:pos="0"/>
        </w:tabs>
        <w:ind w:left="420" w:leftChars="0" w:hanging="420" w:firstLineChars="0"/>
      </w:pPr>
      <w:rPr>
        <w:rFonts w:hint="eastAsia" w:ascii="Times New Roman" w:hAnsi="Times New Roman" w:eastAsia="黑体" w:cs="宋体"/>
        <w:b w:val="0"/>
        <w:bCs/>
        <w:sz w:val="32"/>
      </w:rPr>
    </w:lvl>
    <w:lvl w:ilvl="1" w:tentative="0">
      <w:start w:val="1"/>
      <w:numFmt w:val="chineseCounting"/>
      <w:pStyle w:val="5"/>
      <w:suff w:val="nothing"/>
      <w:lvlText w:val="（%2）"/>
      <w:lvlJc w:val="left"/>
      <w:pPr>
        <w:ind w:left="0" w:firstLine="0"/>
      </w:pPr>
      <w:rPr>
        <w:rFonts w:hint="eastAsia" w:ascii="Times New Roman" w:hAnsi="Times New Roman" w:eastAsia="楷体_GB2312" w:cs="宋体"/>
        <w:b w:val="0"/>
        <w:bCs/>
        <w:sz w:val="32"/>
      </w:rPr>
    </w:lvl>
    <w:lvl w:ilvl="2" w:tentative="0">
      <w:start w:val="1"/>
      <w:numFmt w:val="decimal"/>
      <w:pStyle w:val="6"/>
      <w:suff w:val="nothing"/>
      <w:lvlText w:val="%3．"/>
      <w:lvlJc w:val="left"/>
      <w:pPr>
        <w:ind w:left="0" w:firstLine="400"/>
      </w:pPr>
      <w:rPr>
        <w:rFonts w:hint="eastAsia" w:ascii="Times New Roman" w:hAnsi="Times New Roman" w:eastAsia="仿宋_GB2312" w:cs="宋体"/>
        <w:b/>
        <w:sz w:val="32"/>
      </w:rPr>
    </w:lvl>
    <w:lvl w:ilvl="3" w:tentative="0">
      <w:start w:val="1"/>
      <w:numFmt w:val="decimal"/>
      <w:pStyle w:val="7"/>
      <w:suff w:val="nothing"/>
      <w:lvlText w:val="（%4）"/>
      <w:lvlJc w:val="left"/>
      <w:pPr>
        <w:tabs>
          <w:tab w:val="left" w:pos="0"/>
        </w:tabs>
        <w:ind w:left="0" w:firstLine="402"/>
      </w:pPr>
      <w:rPr>
        <w:rFonts w:hint="eastAsia" w:ascii="宋体" w:hAnsi="宋体" w:eastAsia="宋体" w:cs="宋体"/>
        <w:b/>
        <w:sz w:val="32"/>
      </w:rPr>
    </w:lvl>
    <w:lvl w:ilvl="4" w:tentative="0">
      <w:start w:val="1"/>
      <w:numFmt w:val="decimalEnclosedCircleChinese"/>
      <w:pStyle w:val="8"/>
      <w:suff w:val="nothing"/>
      <w:lvlText w:val="%5"/>
      <w:lvlJc w:val="left"/>
      <w:pPr>
        <w:tabs>
          <w:tab w:val="left" w:pos="0"/>
        </w:tabs>
        <w:ind w:left="0" w:firstLine="402"/>
      </w:pPr>
      <w:rPr>
        <w:rFonts w:hint="eastAsia" w:ascii="宋体" w:hAnsi="宋体" w:eastAsia="宋体" w:cs="宋体"/>
        <w:sz w:val="32"/>
      </w:rPr>
    </w:lvl>
    <w:lvl w:ilvl="5" w:tentative="0">
      <w:start w:val="1"/>
      <w:numFmt w:val="decimal"/>
      <w:pStyle w:val="9"/>
      <w:suff w:val="nothing"/>
      <w:lvlText w:val="%6）"/>
      <w:lvlJc w:val="left"/>
      <w:pPr>
        <w:ind w:left="0" w:firstLine="402"/>
      </w:pPr>
      <w:rPr>
        <w:rFonts w:hint="eastAsia"/>
      </w:rPr>
    </w:lvl>
    <w:lvl w:ilvl="6" w:tentative="0">
      <w:start w:val="1"/>
      <w:numFmt w:val="lowerLetter"/>
      <w:pStyle w:val="10"/>
      <w:suff w:val="nothing"/>
      <w:lvlText w:val="%7．"/>
      <w:lvlJc w:val="left"/>
      <w:pPr>
        <w:ind w:left="0" w:firstLine="402"/>
      </w:pPr>
      <w:rPr>
        <w:rFonts w:hint="eastAsia"/>
      </w:rPr>
    </w:lvl>
    <w:lvl w:ilvl="7" w:tentative="0">
      <w:start w:val="1"/>
      <w:numFmt w:val="lowerLetter"/>
      <w:pStyle w:val="11"/>
      <w:suff w:val="nothing"/>
      <w:lvlText w:val="%8）"/>
      <w:lvlJc w:val="left"/>
      <w:pPr>
        <w:ind w:left="0" w:firstLine="402"/>
      </w:pPr>
      <w:rPr>
        <w:rFonts w:hint="eastAsia"/>
      </w:rPr>
    </w:lvl>
    <w:lvl w:ilvl="8" w:tentative="0">
      <w:start w:val="1"/>
      <w:numFmt w:val="lowerRoman"/>
      <w:pStyle w:val="12"/>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1NTVlZDlhM2U1NGFlNWFkNTEyNTJlYmEwNmMwODAifQ=="/>
  </w:docVars>
  <w:rsids>
    <w:rsidRoot w:val="662D244F"/>
    <w:rsid w:val="02694FC4"/>
    <w:rsid w:val="09AB57BA"/>
    <w:rsid w:val="2F2F5326"/>
    <w:rsid w:val="352E4D01"/>
    <w:rsid w:val="38455ACD"/>
    <w:rsid w:val="3E6631C9"/>
    <w:rsid w:val="51715853"/>
    <w:rsid w:val="56A9598C"/>
    <w:rsid w:val="587D219C"/>
    <w:rsid w:val="5B7C18B3"/>
    <w:rsid w:val="653B5369"/>
    <w:rsid w:val="662D244F"/>
    <w:rsid w:val="6AC376B2"/>
    <w:rsid w:val="701D4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imes New Roman" w:hAnsi="Times New Roman" w:eastAsia="仿宋_GB2312" w:cstheme="minorBidi"/>
      <w:kern w:val="2"/>
      <w:sz w:val="32"/>
      <w:szCs w:val="24"/>
      <w:lang w:val="en-US" w:eastAsia="zh-CN" w:bidi="ar-SA"/>
    </w:rPr>
  </w:style>
  <w:style w:type="paragraph" w:styleId="3">
    <w:name w:val="heading 1"/>
    <w:basedOn w:val="1"/>
    <w:next w:val="4"/>
    <w:qFormat/>
    <w:uiPriority w:val="0"/>
    <w:pPr>
      <w:keepNext/>
      <w:keepLines/>
      <w:numPr>
        <w:ilvl w:val="0"/>
        <w:numId w:val="1"/>
      </w:numPr>
      <w:spacing w:beforeLines="0" w:beforeAutospacing="0" w:afterLines="0" w:afterAutospacing="0" w:line="560" w:lineRule="exact"/>
      <w:ind w:left="0" w:firstLine="880" w:firstLineChars="200"/>
      <w:outlineLvl w:val="0"/>
    </w:pPr>
    <w:rPr>
      <w:rFonts w:eastAsia="黑体"/>
      <w:kern w:val="44"/>
    </w:rPr>
  </w:style>
  <w:style w:type="paragraph" w:styleId="5">
    <w:name w:val="heading 2"/>
    <w:basedOn w:val="1"/>
    <w:next w:val="4"/>
    <w:unhideWhenUsed/>
    <w:qFormat/>
    <w:uiPriority w:val="0"/>
    <w:pPr>
      <w:keepNext/>
      <w:keepLines/>
      <w:numPr>
        <w:ilvl w:val="1"/>
        <w:numId w:val="1"/>
      </w:numPr>
      <w:spacing w:beforeLines="0" w:beforeAutospacing="0" w:afterLines="0" w:afterAutospacing="0" w:line="560" w:lineRule="exact"/>
      <w:ind w:left="0" w:firstLine="880" w:firstLineChars="200"/>
      <w:outlineLvl w:val="1"/>
    </w:pPr>
    <w:rPr>
      <w:rFonts w:eastAsia="楷体_GB2312"/>
    </w:rPr>
  </w:style>
  <w:style w:type="paragraph" w:styleId="6">
    <w:name w:val="heading 3"/>
    <w:basedOn w:val="1"/>
    <w:next w:val="1"/>
    <w:unhideWhenUsed/>
    <w:qFormat/>
    <w:uiPriority w:val="0"/>
    <w:pPr>
      <w:keepNext/>
      <w:keepLines/>
      <w:numPr>
        <w:ilvl w:val="2"/>
        <w:numId w:val="1"/>
      </w:numPr>
      <w:spacing w:beforeLines="0" w:beforeAutospacing="0" w:afterLines="0" w:afterAutospacing="0" w:line="560" w:lineRule="exact"/>
      <w:ind w:firstLine="880" w:firstLineChars="200"/>
      <w:outlineLvl w:val="2"/>
    </w:pPr>
    <w:rPr>
      <w:b/>
    </w:rPr>
  </w:style>
  <w:style w:type="paragraph" w:styleId="7">
    <w:name w:val="heading 4"/>
    <w:basedOn w:val="1"/>
    <w:next w:val="1"/>
    <w:unhideWhenUsed/>
    <w:qFormat/>
    <w:uiPriority w:val="0"/>
    <w:pPr>
      <w:keepNext/>
      <w:keepLines/>
      <w:numPr>
        <w:ilvl w:val="3"/>
        <w:numId w:val="1"/>
      </w:numPr>
      <w:spacing w:beforeLines="0" w:beforeAutospacing="0" w:afterLines="0" w:afterAutospacing="0" w:line="560" w:lineRule="exact"/>
      <w:ind w:firstLine="880" w:firstLineChars="200"/>
      <w:outlineLvl w:val="3"/>
    </w:pPr>
    <w:rPr>
      <w:b/>
    </w:rPr>
  </w:style>
  <w:style w:type="paragraph" w:styleId="8">
    <w:name w:val="heading 5"/>
    <w:basedOn w:val="1"/>
    <w:next w:val="1"/>
    <w:unhideWhenUsed/>
    <w:qFormat/>
    <w:uiPriority w:val="0"/>
    <w:pPr>
      <w:keepNext/>
      <w:keepLines/>
      <w:numPr>
        <w:ilvl w:val="4"/>
        <w:numId w:val="1"/>
      </w:numPr>
      <w:spacing w:beforeLines="0" w:beforeAutospacing="0" w:afterLines="0" w:afterAutospacing="0" w:line="560" w:lineRule="exact"/>
      <w:ind w:firstLine="880" w:firstLineChars="200"/>
      <w:outlineLvl w:val="4"/>
    </w:pPr>
    <w:rPr>
      <w:b/>
    </w:rPr>
  </w:style>
  <w:style w:type="paragraph" w:styleId="9">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customStyle="1" w:styleId="4">
    <w:name w:val="中文正文"/>
    <w:basedOn w:val="1"/>
    <w:qFormat/>
    <w:uiPriority w:val="0"/>
    <w:pPr>
      <w:spacing w:line="560" w:lineRule="exact"/>
      <w:ind w:firstLine="880" w:firstLineChars="200"/>
    </w:pPr>
  </w:style>
  <w:style w:type="paragraph" w:styleId="13">
    <w:name w:val="Salutation"/>
    <w:basedOn w:val="1"/>
    <w:next w:val="4"/>
    <w:qFormat/>
    <w:uiPriority w:val="0"/>
    <w:rPr>
      <w:rFonts w:ascii="Times New Roman" w:hAnsi="Times New Roman"/>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itle"/>
    <w:basedOn w:val="1"/>
    <w:qFormat/>
    <w:uiPriority w:val="0"/>
    <w:pPr>
      <w:spacing w:beforeAutospacing="0" w:afterLines="0" w:afterAutospacing="0" w:line="600" w:lineRule="exact"/>
      <w:jc w:val="center"/>
      <w:outlineLvl w:val="0"/>
    </w:pPr>
    <w:rPr>
      <w:rFonts w:ascii="Times New Roman" w:hAnsi="Times New Roman" w:eastAsia="方正小标宋_GBK"/>
      <w:sz w:val="44"/>
    </w:rPr>
  </w:style>
  <w:style w:type="paragraph" w:customStyle="1" w:styleId="19">
    <w:name w:val="落款"/>
    <w:basedOn w:val="1"/>
    <w:qFormat/>
    <w:uiPriority w:val="0"/>
    <w:pPr>
      <w:pBdr>
        <w:top w:val="single" w:color="FFFFFF" w:sz="4" w:space="0"/>
        <w:left w:val="single" w:color="FFFFFF" w:sz="4" w:space="31"/>
        <w:bottom w:val="single" w:color="FFFFFF" w:sz="4" w:space="31"/>
        <w:right w:val="single" w:color="FFFFFF" w:sz="4" w:space="0"/>
      </w:pBdr>
      <w:autoSpaceDE w:val="0"/>
      <w:adjustRightInd w:val="0"/>
      <w:snapToGrid w:val="0"/>
      <w:spacing w:line="600" w:lineRule="exact"/>
      <w:ind w:right="1280" w:rightChars="400" w:firstLine="0" w:firstLineChars="0"/>
      <w:jc w:val="right"/>
    </w:pPr>
    <w:rPr>
      <w:rFonts w:hint="default" w:ascii="Times New Roman" w:hAnsi="Times New Roman"/>
      <w:szCs w:val="32"/>
    </w:rPr>
  </w:style>
  <w:style w:type="paragraph" w:customStyle="1" w:styleId="20">
    <w:name w:val="附件"/>
    <w:basedOn w:val="1"/>
    <w:qFormat/>
    <w:uiPriority w:val="0"/>
    <w:rPr>
      <w:rFonts w:hint="default" w:ascii="Times New Roman" w:hAnsi="Times New Roman" w:eastAsia="黑体"/>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XC\AppData\Roaming\kingsoft\office6\templates\wps\zh_CN\&#31185;&#25216;&#21381;&#20844;&#25991;&#27169;&#26495;v2.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科技厅公文模板v2.dotm</Template>
  <Pages>2</Pages>
  <Words>934</Words>
  <Characters>936</Characters>
  <Lines>0</Lines>
  <Paragraphs>0</Paragraphs>
  <TotalTime>1</TotalTime>
  <ScaleCrop>false</ScaleCrop>
  <LinksUpToDate>false</LinksUpToDate>
  <CharactersWithSpaces>936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2022-11-25T09:18:00Z</dcterms:created>
  <dc:creator>王老师</dc:creator>
  <cp:lastModifiedBy>王老师</cp:lastModifiedBy>
  <dcterms:modified xsi:type="dcterms:W3CDTF">2022-11-28T01:02:17Z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77682F1B3C7748148342CD0DD9B1CC3F</vt:lpwstr>
  </property>
  <property fmtid="{D5CDD505-2E9C-101B-9397-08002B2CF9AE}" pid="4" name="KSOSaveFontToCloudKey">
    <vt:lpwstr>1000521657_embed</vt:lpwstr>
  </property>
</Properties>
</file>